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天津市中心妇产科医院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天津市中心妇产科医院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在市卫健委党委的引领与支持下，医院党委始终发挥核心领导作用，带领全院职工以打造国内一流、国际知名的妇产科医院为宏伟目标，秉承“至诚至爱、求精求新”的宗旨，坚持围绕中心、服务大局，以高起点进行谋划、高标准推进各项工作、高质量落实发展目标，在妇产科医疗领域不断开拓创新。</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医院始终将“以病人为中心，以质量为核心”的理念深植于心，苦练内功，致力于持续提升医疗服务质量。通过切实加强职业道德建设，认真履行社会服务承诺，全面推行优质服务，积极改善办院条件，持之以恒地倡导精细化管理，不断创新服务与管理模式，使服务质量与服务水平得到显著提升，为患者提供更加优质、贴心的医疗服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医院现为国家临床重点专科建设项目单位、国家妇产疾病临床研究中心天津分中心、委市共建国家区域医疗中心建设单位、国家卫健委提升二级妇幼保健机构能力建设单位、国家孕产期/更年期/新生儿保健特色专科建设单位、国家助产士规范化培训基地、国家级新生儿专科医师培训基地、国家级药物临床试验机构、国家卫健委“一带一路”医学人才培养联盟妇科内镜医师培训项目成员单位、天津市高危孕产妇转诊救治中心、天津市危重新生儿抢救中心、天津市子宫内膜异位症治疗中心、天津市妇产疾病临床研究中心、天津市产前诊断中心、天津市生殖医学中心、天津市妇产科研究所主办单位、《天津护理》杂志主办单位。</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医院还建立了天津市人类发育与生殖调控重点实验室、合作成立南开大学妇产科学研究院。同时，作为天津市妇产科质量控制中心、天津市围产医学质量控制中心、天津市人类辅助生殖技术质控中心、天津市新生儿科质控中心的挂靠单位，以及天津市博士后创新实践基地，医院在行业质控与科研创新方面承担着重要职责。</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医院现有南开、和平、滨海三个院区。南开院区位于南开三马路156号，于2010年5月开诊，总建筑面积71510平方米，规划床位608张；和平院区位于营口道146号，于2023年重新投入使用，规划建筑面积34050平方米，规划床位168张；滨海院区选址中新天津生态城，于2025年7月全面投入使用，规划床位350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在上级党委的坚强领导下，医院党委将继续带领全体中心妇产人，以饱满的热情和坚定的信念，全力以赴将天津市中心妇产科医院建设成为党和政府放心、患者安心、家属省心的健康港湾。全院职工将用汗水和行动积极践行健康中国战略，为全方位、全周期保障人民群众的健康贡献中妇力量，在妇产科医疗事业的发展道路上不断迈进，创造更加辉煌的未来</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天津市中心妇产科医院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天津市中心妇产科医院本级。</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天津市中心妇产科医院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41032110.31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101790.27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1002294004.93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800000.00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1025703537.24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60544547.55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1103870662.79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1026605327.51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77487227.38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12591369.06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12369476.96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101790.27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12489578.79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1116462031.85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1116462031.85</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天津市中心妇产科医院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1103870662.79</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41032110.31</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1002294004.93</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60544547.55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1103070662.79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40232110.31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1002294004.93</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60544547.55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1097474662.79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34636110.31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1002294004.93</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60544547.55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1097474662.79</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34636110.31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1002294004.93</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60544547.55</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4706000.00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4706000.00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3302000.00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3302000.00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1404000.00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1404000.00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21017</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2101704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天津市中心妇产科医院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1116462031.85</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1103870662.79</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41032110.31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1002294004.93</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60544547.55</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368208</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天津市中心妇产科医院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1116462031.85</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1103870662.79</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41032110.31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1002294004.93</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60544547.55</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天津市中心妇产科医院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12591369.06</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101790.27</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101790.27</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12489578.79</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12489578.79</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368208</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天津市中心妇产科医院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12591369.06</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101790.27</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101790.27</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12489578.79</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12489578.79</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天津市中心妇产科医院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1026605327.51</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660194117.50</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366411210.01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科技交流与合作</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人力资源和社会保障管理事务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1025703537.24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660194117.50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365509419.74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公立医院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1020107537.24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655488117.50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364619419.74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1020107537.24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655488117.50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364619419.74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4706000.00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4706000.00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3302000.00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3302000.00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1404000.00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1404000.00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21017</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中医药事务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2101704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天津市中心妇产科医院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41032110.31</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101790.27</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101790.27</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800000.00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800000.00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40232110.31</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40232110.31</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41032110.31</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41133900.58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41133900.58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101790.27</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101790.27</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41133900.58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41133900.58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41133900.58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天津市中心妇产科医院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41133900.58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31018000.00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30260000.00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758000.00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10115900.58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科技交流与合作</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101790.27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人力资源和社会保障管理事务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40232110.31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31018000.00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30260000.00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758000.00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9214110.31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公立医院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34636110.31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26312000.00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25554000.00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758000.00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8324110.31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34636110.31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26312000.00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25554000.00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758000.00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8324110.31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4706000.00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4706000.00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4706000.00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3302000.00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3302000.00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3302000.00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1404000.00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1404000.00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1404000.00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中医药事务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天津市中心妇产科医院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25666000.00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758000.00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612000.00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758000.00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21752000.00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3302000.00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4594000.00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4195552.75</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398447.25</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30260000.00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758000.00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天津市中心妇产科医院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天津市中心妇产科医院2025年度政府性基金预算财政拨款收入支出决算表为空表。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天津市中心妇产科医院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天津市中心妇产科医院2025年度国有资本经营预算财政拨款收入支出决算表为空表。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天津市中心妇产科医院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天津市中心妇产科医院2025年财政拨款“三公”经费支出决算表为空表。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天津市中心妇产科医院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366411210.01</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10115900.58</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356295309.43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101790.27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101790.27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科技交流与合作</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101790.27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101790.27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其他科技交流与合作支出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101790.27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101790.27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高层次人才第一年度医学英才</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101790.27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101790.27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第二批卫生健康行业高层次人才选拔培养工程第一年度资助经费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365509419.74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9214110.31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356295309.43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364619419.74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8324110.31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356295309.43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364619419.74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8324110.31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356295309.43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县乡村卫生人才能力培训-01直达资金-2024年医疗服务与保障能力提升（第二批）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23900.00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天津市中西医结合重点专科-01直达资金-2024年中医药事业传承与发展（第二批）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220400.00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220400.00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产前诊断机构（中心）建设-01直达资金-2024年医疗服务与保障能力提升（第四批）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3978100.00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3978100.00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妇女儿童键康提升计划(2025年市级残保金)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768000.00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768000.00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儿科医师岗位补助（2025年市级）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卫生健康质控中心管理（2025年市级）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卫生健康系统对口支援帮扶（2025年市级）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487000.00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487000.00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中西医协同“旗舰”科室（2025年中央中医药事业传承与发展）</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公立医院综合改革（2025年中央医疗服务与保障能力提升）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县乡村卫生人才能力培训——2025年第二批中央医疗服务与保障能力提升（卫生健康人才培养）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4710.31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4710.31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科教项目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1626068.89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1626068.89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自有收入-药品耗材及资产购置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315615006.17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315615006.17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自有收入-工程建设信息化及其他</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39054234.37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39054234.37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妇女儿童键康提升计划(2025年市级)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中医（民族医）药专项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中医药事业创新发展（2025年市级）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天津市中心妇产科医院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1,116,462,031.85</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增加30,068,794.12元，增长2.77%</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2025年度，滨海院区全面开诊，拉动医院本年度整体收入增长</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一般公共预算财政拨款收入41,032,110.31元、事业收入1,002,294,004.93元、其他收入60,544,547.55元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科学技术支出101,790.27元、社会保障和就业支出800,000.00元、卫生健康支出1,025,703,537.24元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天津市中心妇产科医院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1,103,870,662.79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增加30,948,288.02元，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2025年度，滨海院区全面开诊，拉动医院本年度整体收入增长</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一般公共预算财政拨款收入41,032,110.31元，占3.72%；事业收入1,002,294,004.93元，占90.80%；其他收入60,544,547.55元，占5.48%</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天津市中心妇产科医院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1,026,605,327.51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减少25,735,543.89元，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受院内降本增效管控、医用耗材集中带量采购双重因素影响</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基本支出660,194,117.50元，占64.31%；项目支出366,411,210.01元，占35.69%</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天津市中心妇产科医院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41,133,900.58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增加4,822,394.29元，增长13.28%，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2025 年度财政项目拨款增加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一般公共预算财政拨款41,032,110.31元、年初财政拨款结转和结余101,790.27元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科学技术支出101,790.27元、社会保障和就业支出800,000.00元、卫生健康支出40,232,110.31元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天津市中心妇产科医院2025年度一般公共预算财政拨款支出合计41,133,900.58元，占本年支出合计的4.01%。与2024年度相比，一般公共预算财政拨款支出</w:t>
      </w:r>
      <w:r>
        <w:rPr>
          <w:rFonts w:eastAsia="仿宋_GB2312" w:hint="eastAsia"/>
          <w:sz w:val="30"/>
          <w:szCs w:val="30"/>
          <w:highlight w:val="none"/>
          <w:lang w:val="en-US" w:eastAsia="zh-CN"/>
        </w:rPr>
        <w:t xml:space="preserve">增加4,924,184.56元</w:t>
      </w:r>
      <w:r>
        <w:rPr>
          <w:rFonts w:eastAsia="仿宋_GB2312" w:hint="eastAsia"/>
          <w:sz w:val="30"/>
          <w:szCs w:val="30"/>
          <w:highlight w:val="none"/>
          <w:lang w:val="en-US" w:eastAsia="zh-CN"/>
        </w:rPr>
        <w:t xml:space="preserve">，增长13.60%</w:t>
      </w:r>
      <w:r>
        <w:rPr>
          <w:rFonts w:eastAsia="仿宋_GB2312" w:hint="eastAsia"/>
          <w:sz w:val="30"/>
          <w:szCs w:val="30"/>
          <w:highlight w:val="none"/>
          <w:lang w:val="en-US" w:eastAsia="zh-CN"/>
        </w:rPr>
        <w:t xml:space="preserve">，主要原因是2025 年度财政项目拨款增加。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2025年度一般公共预算财政拨款支出41,133,900.58元，主要用于以下方面：</w:t>
      </w:r>
      <w:r>
        <w:rPr>
          <w:rFonts w:eastAsia="仿宋_GB2312" w:hint="eastAsia"/>
          <w:sz w:val="30"/>
          <w:szCs w:val="30"/>
          <w:highlight w:val="none"/>
        </w:rPr>
        <w:t xml:space="preserve">科学技术支出（类）支出101,790.27元，占0.25%，社会保障和就业支出（类）支出800,000.00元，占1.94%，卫生健康支出（类）支出40,232,110.31元，占97.81%</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2025年度一般公共预算财政拨款支出年初预算为40,199,400.00元，支出决算为41,133,900.58元</w:t>
      </w:r>
      <w:r>
        <w:rPr>
          <w:rFonts w:eastAsia="仿宋_GB2312" w:hint="eastAsia"/>
          <w:sz w:val="30"/>
          <w:szCs w:val="30"/>
          <w:highlight w:val="none"/>
          <w:lang w:val="en-US" w:eastAsia="zh-CN"/>
        </w:rPr>
        <w:t xml:space="preserve">，完成年初预算的102.32%</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科学技术支出（类）科技交流与合作（款）其他科技交流与合作支出（项）年初预算为0.00元，支出决算为101,790.27元，决算数大于年初预算数的主要原因是：该资金为往年科研项目结转结余，本年度依据课题实施进度依规列支使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人力资源和社会保障管理事务（款）引进人才费用（项）年初预算为0.00元，支出决算为800,000.00元，决算数大于年初预算数的主要原因是：高层次人次项目年初未到账，中期预算调整为80万。</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卫生健康支出（类）公立医院（款）妇幼保健医院（项）年初预算为34,603,400.00元，支出决算为34,636,110.31元，完成年初预算的100.09%，决算数大于年初预算数的主要原因是：县乡村卫生人才能力培训为2025年中期调整预算。故完成预算的100.09%。</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公共卫生（款）基本公共卫生服务（项）年初预算为800,000.00元，支出决算为800,000.00元，完成年初预算的100.00%，决算数与年初预算数持平的主要原因是：预算执行中，严格按照年初计划控制，避免超预算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事业单位医疗（项）年初预算为3,302,000.00元，支出决算为3,302,000.00元，完成年初预算的100.00%，决算数与年初预算数持平的主要原因是：预算执行中，严格按照年初计划控制，避免超预算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其他行政事业单位医疗支出（项）年初预算为1,404,000.00元，支出决算为1,404,000.00元，完成年初预算的100.00%，决算数与年初预算数持平的主要原因是：预算执行中，严格按照年初计划控制，避免超预算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中医药事务（款）中医（民族医）药专项（项）年初预算为90,000.00元，支出决算为90,000.00元，完成年初预算的100.00%，决算数与年初预算数持平的主要原因是：预算执行中，严格按照年初计划控制，避免超预算支出。</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天津市中心妇产科医院2025年度一般公共预算财政拨款基本支出合计31,018,000.00元，与2024年度相比</w:t>
      </w:r>
      <w:r>
        <w:rPr>
          <w:rFonts w:eastAsia="仿宋_GB2312" w:hint="eastAsia"/>
          <w:sz w:val="30"/>
          <w:szCs w:val="30"/>
          <w:highlight w:val="none"/>
          <w:lang w:val="en-US" w:eastAsia="zh-CN"/>
        </w:rPr>
        <w:t xml:space="preserve">增加428,800.00元，</w:t>
      </w:r>
      <w:r>
        <w:rPr>
          <w:rFonts w:eastAsia="仿宋_GB2312" w:hint="eastAsia"/>
          <w:sz w:val="30"/>
          <w:szCs w:val="30"/>
          <w:highlight w:val="none"/>
          <w:lang w:val="en-US" w:eastAsia="zh-CN"/>
        </w:rPr>
        <w:t xml:space="preserve">主要原因是我院在职人员增加，基本财政拨款较2024年有所增加。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人员经费30,260,000.00元，主要包括</w:t>
      </w:r>
      <w:r>
        <w:rPr>
          <w:rFonts w:eastAsia="仿宋_GB2312" w:hint="eastAsia"/>
          <w:sz w:val="30"/>
          <w:szCs w:val="30"/>
          <w:highlight w:val="none"/>
          <w:lang w:val="en-US" w:eastAsia="zh-CN"/>
        </w:rPr>
        <w:t xml:space="preserve">基本工资、机关事业单位基本养老保险缴费、职工基本医疗保险缴费、退休费、医疗费补助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公用经费758,000.00元，主要包括</w:t>
      </w:r>
      <w:r>
        <w:rPr>
          <w:rFonts w:eastAsia="仿宋_GB2312" w:hint="eastAsia"/>
          <w:sz w:val="30"/>
          <w:szCs w:val="30"/>
          <w:highlight w:val="none"/>
          <w:lang w:val="en-US" w:eastAsia="zh-CN"/>
        </w:rPr>
        <w:t xml:space="preserve">水费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天津市中心妇产科医院2025年度无政府性基金预算财政拨款收入、支出和结转结余。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天津市中心妇产科医院2025年度无国有资本经营预算财政拨款收入、支出和结转结余。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决算数与预算数持平的主要原因是本年未用一般公共预算财政拨款列支“三公”经费；</w:t>
      </w:r>
      <w:r>
        <w:rPr>
          <w:rFonts w:eastAsia="仿宋_GB2312" w:hint="eastAsia"/>
          <w:sz w:val="30"/>
          <w:szCs w:val="30"/>
          <w:highlight w:val="none"/>
          <w:lang w:val="en-US" w:eastAsia="zh-CN"/>
        </w:rPr>
        <w:t xml:space="preserve">决算数较上年持平的主要原因是两年均未用一般公共预算财政拨款列支“三公”经费。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天津市中心妇产科医院2025年度无机关运行经费。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中心妇产科医院2025年政府采购支出总额15,576,285.90元，其中：政府采购货物支出11,120,509.90元、政府采购工程支出0.00元、政府采购服务支出4,455,776.00元。授予中小企业合同金额6,945,189.00元，占政府采购支出总额的44.59%，其中：授予小微企业合同金额5,810,136.00元，占政府采购支出总额的37.30%；货物采购授予中小企业合同金额占货物支出金额的30.16%，工程采购授予中小企业合同金额占工程支出金额的0.00%，服务采购授予中小企业合同金额占服务支出金额的80.61%。</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截至2025年12月31日，天津市中心妇产科医院共有车辆2辆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特种专业技术用车1辆、其他用车1辆</w:t>
      </w:r>
      <w:r>
        <w:rPr>
          <w:rFonts w:eastAsia="仿宋_GB2312" w:hint="eastAsia"/>
          <w:sz w:val="30"/>
          <w:szCs w:val="30"/>
          <w:highlight w:val="none"/>
          <w:lang w:val="en-US" w:eastAsia="zh-CN"/>
        </w:rPr>
        <w:t xml:space="preserve">，其他用车主要包括一般业务用车</w:t>
      </w:r>
      <w:r>
        <w:rPr>
          <w:rFonts w:eastAsia="仿宋_GB2312" w:hint="eastAsia"/>
          <w:sz w:val="30"/>
          <w:szCs w:val="30"/>
          <w:highlight w:val="none"/>
          <w:lang w:val="en-US" w:eastAsia="zh-CN"/>
        </w:rPr>
        <w:t xml:space="preserve">。单价100万元以上的设备121台（套）。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根据预算绩效管理要求，天津市中心妇产科医院已对18个2025年度市级项目开展绩效自评，涉及金额719352591.4元，自评结果已随部门决算一并公开。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天津市中心妇产科医院不属于乡、镇、街级单位，不涉及公开2025年度教育、医疗卫生、社会保障和就业、住房保障、涉农补贴等民生支出情况。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23747C10-1A0F-466F-99D6-03184A37DD4B}"/>
    <w:embedBold r:id="rId2" w:subsetted="1" w:fontKey="{2F837F8C-5439-4F06-B03C-527E7EB44AB1}"/>
  </w:font>
  <w:font w:name="Cambria">
    <w:panose1 w:val="02040503050406030204"/>
    <w:charset w:val="00"/>
    <w:family w:val="roman"/>
    <w:pitch w:val="default"/>
    <w:sig w:usb0="E00006FF" w:usb1="420024FF" w:usb2="02000000" w:usb3="00000000" w:csb0="2000019F" w:csb1="00000000"/>
    <w:embedRegular r:id="rId3" w:fontKey="{0F09B706-A354-414F-A69C-01E496764BBB}"/>
  </w:font>
  <w:font w:name="Calibri">
    <w:panose1 w:val="020F0502020204030204"/>
    <w:charset w:val="00"/>
    <w:family w:val="swiss"/>
    <w:pitch w:val="default"/>
    <w:sig w:usb0="E4002EFF" w:usb1="C200247B" w:usb2="00000009" w:usb3="00000000" w:csb0="200001FF" w:csb1="00000000"/>
    <w:embedRegular r:id="rId4" w:fontKey="{07F3940C-64E3-4C43-9943-394B3D90F92B}"/>
  </w:font>
  <w:font w:name="黑体">
    <w:panose1 w:val="02010609060101010101"/>
    <w:charset w:val="FFFFFF86"/>
    <w:family w:val="auto"/>
    <w:pitch w:val="default"/>
    <w:sig w:usb0="800002BF" w:usb1="38CF7CFA" w:usb2="00000016" w:usb3="00000000" w:csb0="00040001" w:csb1="00000000"/>
    <w:embedRegular r:id="rId5" w:subsetted="1" w:fontKey="{715A7DE2-7CF4-46E8-A952-F659BBC93395}"/>
    <w:embedBold r:id="rId6" w:subsetted="1" w:fontKey="{21DB60B7-4CC1-4D59-B5CE-D82BB7BC2FC0}"/>
  </w:font>
  <w:font w:name="方正小标宋简体">
    <w:altName w:val="黑体"/>
    <w:panose1 w:val="02000000000000000000"/>
    <w:charset w:val="FFFFFF86"/>
    <w:family w:val="auto"/>
    <w:pitch w:val="default"/>
    <w:sig w:usb0="00000001" w:usb1="08000000" w:usb2="00000000" w:usb3="00000000" w:csb0="00040000" w:csb1="00000000"/>
    <w:embedRegular r:id="rId7" w:fontKey="{4DC04544-CC25-423B-9436-B14C0840C33D}"/>
    <w:embedBold r:id="rId8" w:fontKey="{F1877CB7-0997-4E5D-B359-51BB15E87796}"/>
  </w:font>
  <w:font w:name="仿宋">
    <w:panose1 w:val="02010609060101010101"/>
    <w:charset w:val="FFFFFF86"/>
    <w:family w:val="auto"/>
    <w:pitch w:val="default"/>
    <w:sig w:usb0="800002BF" w:usb1="38CF7CFA" w:usb2="00000016" w:usb3="00000000" w:csb0="00040001" w:csb1="00000000"/>
    <w:embedRegular r:id="rId9" w:subsetted="1" w:fontKey="{9034BE13-1DDD-4616-BF07-C6CC457A4AA3}"/>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D12CAC9D-B357-4C4C-8992-173D5920B602}"/>
  </w:font>
  <w:font w:name="方正楷体_GB2312">
    <w:altName w:val="宋体"/>
    <w:panose1 w:val="02000000000000000000"/>
    <w:charset w:val="FFFFFF86"/>
    <w:family w:val="auto"/>
    <w:pitch w:val="default"/>
    <w:sig w:usb0="A00002BF" w:usb1="184F6CFA" w:usb2="00000012" w:usb3="00000000" w:csb0="00040001" w:csb1="00000000"/>
    <w:embedRegular r:id="rId11" w:fontKey="{2D03AF4E-BF89-42EB-BB4F-6EC78653C05D}"/>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2" w:subsetted="1" w:fontKey="{EAE1E7D2-59C4-4953-8605-08D44FB51B6A}"/>
    <w:embedBold r:id="rId13" w:subsetted="1" w:fontKey="{9D012366-16AE-46A1-8ED4-5B98FB5CE742}"/>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5</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9</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25</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33</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36</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